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FC-0064 · Civil Procedure</w:t>
      </w:r>
    </w:p>
    <w:p>
      <w:pPr>
        <w:pStyle w:val="Title"/>
      </w:pPr>
      <w:r>
        <w:t xml:space="preserve">Relation Back of Amendments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an amended pleading is treated as if it had been filed in that form from the start, and the exception for limitation.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Sampath Kumar v. Ayyakannu, (2002) 7 SCC 559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https://firstprecedent.org/fictions/relation-back-of-amendments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