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FC-0043 · Tort</w:t>
      </w:r>
    </w:p>
    <w:p>
      <w:pPr>
        <w:pStyle w:val="Title"/>
      </w:pPr>
      <w:r>
        <w:t xml:space="preserve">The Reasonable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imagined person of ordinary prudence against whose conduct negligence is measured.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Vaughan v. Menlove, (1837) 3 Bing NC 468</w:t>
      </w:r>
    </w:p>
    <w:p>
      <w:pPr>
        <w:pStyle w:val="Bullet"/>
      </w:pPr>
      <w:r>
        <w:t xml:space="preserve">•  Blyth v. Birmingham Waterworks Co., (1856) 11 Exch 781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https://firstprecedent.org/fictions/reasonable-person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