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FC-0025 · Labour</w:t>
      </w:r>
    </w:p>
    <w:p>
      <w:pPr>
        <w:pStyle w:val="Title"/>
      </w:pPr>
      <w:r>
        <w:t xml:space="preserve">The Principal Employer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person who engages workers through a contractor is treated as their employer for wages and welfare.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Contract Labour (Regulation and Abolition) Act, 1970, §§ 20–21</w:t>
      </w:r>
    </w:p>
    <w:p>
      <w:pPr>
        <w:pStyle w:val="Bullet"/>
      </w:pPr>
      <w:r>
        <w:t xml:space="preserve">•  Employees’ State Insurance Act, 1948, § 2(17)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https://firstprecedent.org/fictions/principal-employer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