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FC-0023 · Family</w:t>
      </w:r>
    </w:p>
    <w:p>
      <w:pPr>
        <w:pStyle w:val="Title"/>
      </w:pPr>
      <w:r>
        <w:t xml:space="preserve">Marriage Presumed from Cohabitation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A man and woman who live together for long as husband and wife are presumed married.</w:t>
      </w:r>
    </w:p>
    <w:p>
      <w:pPr>
        <w:pStyle w:val="Guidance"/>
      </w:pPr>
      <w:r>
        <w:t xml:space="preserve">Authorities to start from. These are places to begin, listed by the editors. Read each one in the original and check the citation before you rely on it.</w:t>
      </w:r>
    </w:p>
    <w:p>
      <w:pPr>
        <w:pStyle w:val="Bullet"/>
      </w:pPr>
      <w:r>
        <w:t xml:space="preserve">•  Badri Prasad v. Dy. Director of Consolidation, (1978) 3 SCC 527</w:t>
      </w:r>
    </w:p>
    <w:p>
      <w:pPr>
        <w:pStyle w:val="Bullet"/>
      </w:pPr>
      <w:r>
        <w:t xml:space="preserve">•  Indian Evidence Act, 1872, § 114</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https://firstprecedent.org/fictions/presumption-of-marriage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