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FC-0012 · Evidence</w:t>
      </w:r>
    </w:p>
    <w:p>
      <w:pPr>
        <w:pStyle w:val="Title"/>
      </w:pPr>
      <w:r>
        <w:t xml:space="preserve">The Presumption of Death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person unheard of for seven years is presumed dead; but there is no presumption as to the time of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107–108</w:t>
      </w:r>
    </w:p>
    <w:p>
      <w:pPr>
        <w:pStyle w:val="Bullet"/>
      </w:pPr>
      <w:r>
        <w:t xml:space="preserve">•  LIC of India v. Anuradha, (2004) 10 SCC 131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https://firstprecedent.org/fictions/presumption-of-death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