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FC-0062 · Banking</w:t>
      </w:r>
    </w:p>
    <w:p>
      <w:pPr>
        <w:pStyle w:val="Title"/>
      </w:pPr>
      <w:r>
        <w:t xml:space="preserve">Presumption in Favour of the Holder of a Cheque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cheque was drawn for consideration and to discharge a debt, and the standard for rebutting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118, 139</w:t>
      </w:r>
    </w:p>
    <w:p>
      <w:pPr>
        <w:pStyle w:val="Bullet"/>
      </w:pPr>
      <w:r>
        <w:t xml:space="preserve">•  Rangappa v. Sri Mohan, (2010) 11 SCC 441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https://firstprecedent.org/fictions/presumption-in-favour-of-the-holder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