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FC-0059 · Evidence</w:t>
      </w:r>
    </w:p>
    <w:p>
      <w:pPr>
        <w:pStyle w:val="Title"/>
      </w:pPr>
      <w:r>
        <w:t xml:space="preserve">Possession of Recently Stolen Goods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presumption that a person found with stolen goods soon after the theft is the thief or a receiver, and how far it extends to graver offences.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114 illus. (a)</w:t>
      </w:r>
    </w:p>
    <w:p>
      <w:pPr>
        <w:pStyle w:val="Bullet"/>
      </w:pPr>
      <w:r>
        <w:t xml:space="preserve">•  Earabhadrappa v. State of Karnataka, (1983) 2 SCC 330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https://firstprecedent.org/fictions/possession-of-recently-stolen-goods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