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FC-0045 · IP</w:t>
      </w:r>
    </w:p>
    <w:p>
      <w:pPr>
        <w:pStyle w:val="Title"/>
      </w:pPr>
      <w:r>
        <w:t xml:space="preserve">Person Skilled in the Art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notional technician, neither dull nor inventive, through whose eyes obviousness and sufficiency are judged.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2(1)(ja)</w:t>
      </w:r>
    </w:p>
    <w:p>
      <w:pPr>
        <w:pStyle w:val="Bullet"/>
      </w:pPr>
      <w:r>
        <w:t xml:space="preserve">•  F. Hoffmann-La Roche Ltd. v. Cipla Ltd., 2015 SCC OnLine Del 13619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https://firstprecedent.org/fictions/person-skilled-in-the-art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