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FC-0106 · Corporate</w:t>
      </w:r>
    </w:p>
    <w:p>
      <w:pPr>
        <w:pStyle w:val="Title"/>
      </w:pPr>
      <w:r>
        <w:t xml:space="preserve">Partner as Agent of the Firm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that every partner is the agent of the firm for the purposes of its business.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Partnership Act, 1932, § 18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https://firstprecedent.org/fictions/partner-as-agent-of-the-firm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