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FC-0075 · Tort</w:t>
      </w:r>
    </w:p>
    <w:p>
      <w:pPr>
        <w:pStyle w:val="Title"/>
      </w:pPr>
      <w:r>
        <w:t xml:space="preserve">Notional Income of a Homemaker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income courts attribute to a person who works unpaid at home, so that compensation can be calculated for their death or injury.</w:t>
      </w:r>
    </w:p>
    <w:p>
      <w:pPr>
        <w:pStyle w:val="Guidance"/>
      </w:pPr>
      <w:r>
        <w:t xml:space="preserve">Authorities to start from. These are places to begin, listed by the editors. Read each one in the original and check the citation before you rely on it.</w:t>
      </w:r>
    </w:p>
    <w:p>
      <w:pPr>
        <w:pStyle w:val="Bullet"/>
      </w:pPr>
      <w:r>
        <w:t xml:space="preserve">•  Kirti v. Oriental Insurance Co. Ltd., (2021) 2 SCC 166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https://firstprecedent.org/fictions/notional-income-of-a-homemaker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