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Fiction · FC-0031 · Banking</w:t>
      </w:r>
    </w:p>
    <w:p>
      <w:pPr>
        <w:pStyle w:val="Title"/>
      </w:pPr>
      <w:r>
        <w:t xml:space="preserve">The Moratorium</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law treats as true</w:t>
      </w:r>
    </w:p>
    <w:p>
      <w:pPr>
        <w:pStyle w:val="Guidance"/>
      </w:pPr>
      <w:r>
        <w:t xml:space="preserve">State the fiction and the provision or case that creates it.</w:t>
      </w:r>
    </w:p>
    <w:p/>
    <w:p>
      <w:pPr>
        <w:pStyle w:val="Heading1"/>
      </w:pPr>
      <w:r>
        <w:t xml:space="preserve">Why the law does this</w:t>
      </w:r>
    </w:p>
    <w:p>
      <w:pPr>
        <w:pStyle w:val="Guidance"/>
      </w:pPr>
      <w:r>
        <w:t xml:space="preserve">The problem the fiction solves.</w:t>
      </w:r>
    </w:p>
    <w:p/>
    <w:p>
      <w:pPr>
        <w:pStyle w:val="Heading1"/>
      </w:pPr>
      <w:r>
        <w:t xml:space="preserve">How far it goes</w:t>
      </w:r>
    </w:p>
    <w:p>
      <w:pPr>
        <w:pStyle w:val="Guidance"/>
      </w:pPr>
      <w:r>
        <w:t xml:space="preserve">The consequences courts have drawn from it.</w:t>
      </w:r>
    </w:p>
    <w:p/>
    <w:p>
      <w:pPr>
        <w:pStyle w:val="Heading1"/>
      </w:pPr>
      <w:r>
        <w:t xml:space="preserve">Where courts stopped</w:t>
      </w:r>
    </w:p>
    <w:p>
      <w:pPr>
        <w:pStyle w:val="Guidance"/>
      </w:pPr>
      <w:r>
        <w:t xml:space="preserve">Cases that refused to extend the fiction further.</w:t>
      </w:r>
    </w:p>
    <w:p/>
    <w:p>
      <w:pPr>
        <w:pStyle w:val="Heading1"/>
      </w:pPr>
      <w:r>
        <w:t xml:space="preserve">What is unsettled</w:t>
      </w:r>
    </w:p>
    <w:p>
      <w:pPr>
        <w:pStyle w:val="Guidance"/>
      </w:pPr>
      <w:r>
        <w:t xml:space="preserve">Open questions about its limits.</w:t>
      </w:r>
    </w:p>
    <w:p/>
    <w:p>
      <w:pPr>
        <w:pStyle w:val="Heading1"/>
      </w:pPr>
      <w:r>
        <w:t xml:space="preserve">Notes for the writer (delete before submitting)</w:t>
      </w:r>
    </w:p>
    <w:p>
      <w:pPr>
        <w:pStyle w:val="Guidance"/>
      </w:pPr>
      <w:r>
        <w:t xml:space="preserve">Scope of this entry. On admission of an insolvency application all suits and recoveries against the company are deemed stayed.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Insolvency and Bankruptcy Code, 2016, § 14</w:t>
      </w:r>
    </w:p>
    <w:p>
      <w:pPr>
        <w:pStyle w:val="Bullet"/>
      </w:pPr>
      <w:r>
        <w:t xml:space="preserve">•  P. Mohanraj v. Shah Bros. Ispat (P) Ltd., (2021) 6 SCC 258</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https://firstprecedent.org/fictions/moratorium</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