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FC-0021 · Family</w:t>
      </w:r>
    </w:p>
    <w:p>
      <w:pPr>
        <w:pStyle w:val="Title"/>
      </w:pPr>
      <w:r>
        <w:t xml:space="preserve">Legitimate Children of Void Marriages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Children of a void or voidable marriage are deemed legitimate: what they inherit, and from whom.</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16</w:t>
      </w:r>
    </w:p>
    <w:p>
      <w:pPr>
        <w:pStyle w:val="Bullet"/>
      </w:pPr>
      <w:r>
        <w:t xml:space="preserve">•  Revanasiddappa v. Mallikarjun, (2023) 10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https://firstprecedent.org/fictions/legitimacy-of-children-of-void-marriages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