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FC-0019 · Environment</w:t>
      </w:r>
    </w:p>
    <w:p>
      <w:pPr>
        <w:pStyle w:val="Title"/>
      </w:pPr>
      <w:r>
        <w:t xml:space="preserve">Rivers and Nature as Legal Persons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High Court declarations that rivers, glaciers and animals are legal persons, and their fate on appeal.</w:t>
      </w:r>
    </w:p>
    <w:p>
      <w:pPr>
        <w:pStyle w:val="Guidance"/>
      </w:pPr>
      <w:r>
        <w:t xml:space="preserve">Authorities to start from. These are places to begin, listed by the editors. Read each one in the original and check the citation before you rely on it.</w:t>
      </w:r>
    </w:p>
    <w:p>
      <w:pPr>
        <w:pStyle w:val="Bullet"/>
      </w:pPr>
      <w:r>
        <w:t xml:space="preserve">•  Mohd. Salim v. State of Uttarakhand, 2017 SCC OnLine Utt 367</w:t>
      </w:r>
    </w:p>
    <w:p>
      <w:pPr>
        <w:pStyle w:val="Bullet"/>
      </w:pPr>
      <w:r>
        <w:t xml:space="preserve">•  Animal Welfare Board of India v. A. Nagaraja, (2014) 7 SCC 547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https://firstprecedent.org/fictions/legal-personality-of-nature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