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FC-0090 · International (Public)</w:t>
      </w:r>
    </w:p>
    <w:p>
      <w:pPr>
        <w:pStyle w:val="Title"/>
      </w:pPr>
      <w:r>
        <w:t xml:space="preserve">Inviolability of Mission Premises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old fiction that an embassy is foreign soil, and the rule of inviolability that replaced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Vienna Convention on Diplomatic Relations, art. 22, Apr. 18, 1961, 500 U.N.T.S. 95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https://firstprecedent.org/fictions/inviolability-of-mission-premises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