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FC-0067 · Corporate</w:t>
      </w:r>
    </w:p>
    <w:p>
      <w:pPr>
        <w:pStyle w:val="Title"/>
      </w:pPr>
      <w:r>
        <w:t xml:space="preserve">The Firm Name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partnership firm, which is not a legal person, suing, being sued and being taxed in its own name.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w:t>
      </w:r>
    </w:p>
    <w:p>
      <w:pPr>
        <w:pStyle w:val="Bullet"/>
      </w:pPr>
      <w:r>
        <w:t xml:space="preserve">•  Dulichand Laxminarayan v. CIT, AIR 1956 SC 354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https://firstprecedent.org/fictions/firm-name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