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FC-0096 · Private International</w:t>
      </w:r>
    </w:p>
    <w:p>
      <w:pPr>
        <w:pStyle w:val="Title"/>
      </w:pPr>
      <w:r>
        <w:t xml:space="preserve">Domicile of Dependence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 wife takes her husband’s domicile and a minor the parent’s, whatever the facts.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Succession Act, 1925, §§ 14–17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https://firstprecedent.org/fictions/domicile-of-dependence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