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FC-0104 · Contract</w:t>
      </w:r>
    </w:p>
    <w:p>
      <w:pPr>
        <w:pStyle w:val="Title"/>
      </w:pPr>
      <w:r>
        <w:t xml:space="preserve">Delivery to a Carrier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handing goods to a carrier for the buyer is treated as delivery to the buyer.</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39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https://firstprecedent.org/fictions/delivery-to-a-carrier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