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FC-0010 · Civil Procedure</w:t>
      </w:r>
    </w:p>
    <w:p>
      <w:pPr>
        <w:pStyle w:val="Title"/>
      </w:pPr>
      <w:r>
        <w:t xml:space="preserve">Deemed Service of Notice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notice sent to the correct address by registered post is presumed served: its use in cheque dishonour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27</w:t>
      </w:r>
    </w:p>
    <w:p>
      <w:pPr>
        <w:pStyle w:val="Bullet"/>
      </w:pPr>
      <w:r>
        <w:t xml:space="preserve">•  C.C. Alavi Haji v. Palapetty Muhammed, (2007) 6 SCC 555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https://firstprecedent.org/fictions/deemed-service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