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FC-0051 · Administrative</w:t>
      </w:r>
    </w:p>
    <w:p>
      <w:pPr>
        <w:pStyle w:val="Title"/>
      </w:pPr>
      <w:r>
        <w:t xml:space="preserve">Deemed Sanction for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proposal that sanction to prosecute a public servant be taken as granted if not decided within the time fixed.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Vineet Narain v. Union of India, (1998) 1 SCC 226</w:t>
      </w:r>
    </w:p>
    <w:p>
      <w:pPr>
        <w:pStyle w:val="Bullet"/>
      </w:pPr>
      <w:r>
        <w:t xml:space="preserve">•  Subramanian Swamy v. Manmohan Singh, (2012) 3 SCC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https://firstprecedent.org/fictions/deemed-sanction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