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FC-0027 · Tax</w:t>
      </w:r>
    </w:p>
    <w:p>
      <w:pPr>
        <w:pStyle w:val="Title"/>
      </w:pPr>
      <w:r>
        <w:t xml:space="preserve">Deemed Sales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Works contracts, hire-purchase, leases and restaurant service treated as sales of goods by the Forty-sixth Amendment.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366(29A)</w:t>
      </w:r>
    </w:p>
    <w:p>
      <w:pPr>
        <w:pStyle w:val="Bullet"/>
      </w:pPr>
      <w:r>
        <w:t xml:space="preserve">•  Builders’ Assn. of India v. Union of India, (1989) 2 SCC 645</w:t>
      </w:r>
    </w:p>
    <w:p>
      <w:pPr>
        <w:pStyle w:val="Bullet"/>
      </w:pPr>
      <w:r>
        <w:t xml:space="preserve">•  BSNL v. Union of India, (2006) 3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https://firstprecedent.org/fictions/deemed-sale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