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FC-0071 · Property</w:t>
      </w:r>
    </w:p>
    <w:p>
      <w:pPr>
        <w:pStyle w:val="Title"/>
      </w:pPr>
      <w:r>
        <w:t xml:space="preserve">Deemed Purchase by the Tenant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land reform provision under which every tenant was deemed to have bought the land from the landlord on “tillers’ 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Bombay Tenancy and Agricultural Lands Act, 1948, § 32</w:t>
      </w:r>
    </w:p>
    <w:p>
      <w:pPr>
        <w:pStyle w:val="Bullet"/>
      </w:pPr>
      <w:r>
        <w:t xml:space="preserve">•  Sri Ram Ram Narain Medhi v. State of Bombay, AIR 1959 SC 459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https://firstprecedent.org/fictions/deemed-purchase-by-the-tenant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