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FC-0008 · Tax</w:t>
      </w:r>
    </w:p>
    <w:p>
      <w:pPr>
        <w:pStyle w:val="Title"/>
      </w:pPr>
      <w:r>
        <w:t xml:space="preserve">Deemed Dividend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Loans by a closely held company to a substantial shareholder taxed as dividend: the fiction and its strict limits.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2(22)(e)</w:t>
      </w:r>
    </w:p>
    <w:p>
      <w:pPr>
        <w:pStyle w:val="Bullet"/>
      </w:pPr>
      <w:r>
        <w:t xml:space="preserve">•  CIT v. C.P. Sarathy Mudaliar, (1972) 4 SCC 531</w:t>
      </w:r>
    </w:p>
    <w:p>
      <w:pPr>
        <w:pStyle w:val="Bullet"/>
      </w:pPr>
      <w:r>
        <w:t xml:space="preserve">•  Gopal &amp; Sons (HUF) v. CIT, (2017) 3 SCC 574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https://firstprecedent.org/fictions/deemed-dividend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