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FC-0049 · Constitutional</w:t>
      </w:r>
    </w:p>
    <w:p>
      <w:pPr>
        <w:pStyle w:val="Title"/>
      </w:pPr>
      <w:r>
        <w:t xml:space="preserve">Deemed Assent to Bills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Bill as assented to when a Governor sits on it, ordered by two judges in April 2025 and rejected in the reference answered that November.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200–201</w:t>
      </w:r>
    </w:p>
    <w:p>
      <w:pPr>
        <w:pStyle w:val="Bullet"/>
      </w:pPr>
      <w:r>
        <w:t xml:space="preserve">•  State of Tamil Nadu v. Governor of Tamil Nadu (Supreme Court, Apr. 8, 2025)</w:t>
      </w:r>
    </w:p>
    <w:p>
      <w:pPr>
        <w:pStyle w:val="Bullet"/>
      </w:pPr>
      <w:r>
        <w:t xml:space="preserve">•  In re Assent, Withholding or Reservation of Bills by the Governor and the President of India (Supreme Court, Nov. 20, 2025)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https://firstprecedent.org/fictions/deemed-assent-to-bills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