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Fiction · FC-0030 · Securities</w:t>
      </w:r>
    </w:p>
    <w:p>
      <w:pPr>
        <w:pStyle w:val="Title"/>
      </w:pPr>
      <w:r>
        <w:t xml:space="preserve">The Connected Person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law treats as true</w:t>
      </w:r>
    </w:p>
    <w:p>
      <w:pPr>
        <w:pStyle w:val="Guidance"/>
      </w:pPr>
      <w:r>
        <w:t xml:space="preserve">State the fiction and the provision or case that creates it.</w:t>
      </w:r>
    </w:p>
    <w:p/>
    <w:p>
      <w:pPr>
        <w:pStyle w:val="Heading1"/>
      </w:pPr>
      <w:r>
        <w:t xml:space="preserve">Why the law does this</w:t>
      </w:r>
    </w:p>
    <w:p>
      <w:pPr>
        <w:pStyle w:val="Guidance"/>
      </w:pPr>
      <w:r>
        <w:t xml:space="preserve">The problem the fiction solves.</w:t>
      </w:r>
    </w:p>
    <w:p/>
    <w:p>
      <w:pPr>
        <w:pStyle w:val="Heading1"/>
      </w:pPr>
      <w:r>
        <w:t xml:space="preserve">How far it goes</w:t>
      </w:r>
    </w:p>
    <w:p>
      <w:pPr>
        <w:pStyle w:val="Guidance"/>
      </w:pPr>
      <w:r>
        <w:t xml:space="preserve">The consequences courts have drawn from it.</w:t>
      </w:r>
    </w:p>
    <w:p/>
    <w:p>
      <w:pPr>
        <w:pStyle w:val="Heading1"/>
      </w:pPr>
      <w:r>
        <w:t xml:space="preserve">Where courts stopped</w:t>
      </w:r>
    </w:p>
    <w:p>
      <w:pPr>
        <w:pStyle w:val="Guidance"/>
      </w:pPr>
      <w:r>
        <w:t xml:space="preserve">Cases that refused to extend the fiction further.</w:t>
      </w:r>
    </w:p>
    <w:p/>
    <w:p>
      <w:pPr>
        <w:pStyle w:val="Heading1"/>
      </w:pPr>
      <w:r>
        <w:t xml:space="preserve">What is unsettled</w:t>
      </w:r>
    </w:p>
    <w:p>
      <w:pPr>
        <w:pStyle w:val="Guidance"/>
      </w:pPr>
      <w:r>
        <w:t xml:space="preserve">Open questions about its limits.</w:t>
      </w:r>
    </w:p>
    <w:p/>
    <w:p>
      <w:pPr>
        <w:pStyle w:val="Heading1"/>
      </w:pPr>
      <w:r>
        <w:t xml:space="preserve">Notes for the writer (delete before submitting)</w:t>
      </w:r>
    </w:p>
    <w:p>
      <w:pPr>
        <w:pStyle w:val="Guidance"/>
      </w:pPr>
      <w:r>
        <w:t xml:space="preserve">Scope of this entry. Relatives, associates and others deemed to have access to inside information, and how the presumption is rebutted.</w:t>
      </w:r>
    </w:p>
    <w:p>
      <w:pPr>
        <w:pStyle w:val="Guidance"/>
      </w:pPr>
      <w:r>
        <w:t xml:space="preserve">Authorities to start from. These are places to begin, listed by the editors. Read each one in the original and check the citation before you rely on it.</w:t>
      </w:r>
    </w:p>
    <w:p>
      <w:pPr>
        <w:pStyle w:val="Bullet"/>
      </w:pPr>
      <w:r>
        <w:t xml:space="preserve">•  SEBI (Prohibition of Insider Trading) Regulations, 2015, reg. 2(1)(d)</w:t>
      </w:r>
    </w:p>
    <w:p>
      <w:pPr>
        <w:pStyle w:val="Bullet"/>
      </w:pPr>
      <w:r>
        <w:t xml:space="preserve">•  Balram Garg v. SEBI, (2022) 9 SCC 425</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https://firstprecedent.org/fictions/connected-person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