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FC-0028 · Tax</w:t>
      </w:r>
    </w:p>
    <w:p>
      <w:pPr>
        <w:pStyle w:val="Title"/>
      </w:pPr>
      <w:r>
        <w:t xml:space="preserve">Income of Spouse and Minor Child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Income arising to a spouse or minor child from assets transferred by the assessee is treated as the assessee’s own.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64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https://firstprecedent.org/fictions/clubbing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