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FC-0039 · Criminal</w:t>
      </w:r>
    </w:p>
    <w:p>
      <w:pPr>
        <w:pStyle w:val="Title"/>
      </w:pPr>
      <w:r>
        <w:t xml:space="preserve">The Child Incapable of Crime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child under seven is conclusively taken to be unable to commit an offence, whatever the child understood.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82, 83 (now Bharatiya Nyaya Sanhita, 2023, §§ 20,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https://firstprecedent.org/fictions/child-incapable-of-crime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