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FC-0036 · Family</w:t>
      </w:r>
    </w:p>
    <w:p>
      <w:pPr>
        <w:pStyle w:val="Title"/>
      </w:pPr>
      <w:r>
        <w:t xml:space="preserve">The Child in the Womb</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child conceived but not yet born is treated as born for the purpose of inheriting, if later born alive.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20</w:t>
      </w:r>
    </w:p>
    <w:p>
      <w:pPr>
        <w:pStyle w:val="Bullet"/>
      </w:pPr>
      <w:r>
        <w:t xml:space="preserve">•  Transfer of Property Act, 1882, §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https://firstprecedent.org/fictions/child-in-the-womb</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