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FC-0015 · Arbitration</w:t>
      </w:r>
    </w:p>
    <w:p>
      <w:pPr>
        <w:pStyle w:val="Title"/>
      </w:pPr>
      <w:r>
        <w:t xml:space="preserve">The Award as a Decree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An arbitral award is enforced "as if it were a decree": the reach of the fiction, including for insolvency.</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36</w:t>
      </w:r>
    </w:p>
    <w:p>
      <w:pPr>
        <w:pStyle w:val="Bullet"/>
      </w:pPr>
      <w:r>
        <w:t xml:space="preserve">•  Paramjeet Singh Patheja v. ICDS Ltd., (2006) 13 SCC 322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https://firstprecedent.org/fictions/award-as-decree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