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FC-0046 · IP</w:t>
      </w:r>
    </w:p>
    <w:p>
      <w:pPr>
        <w:pStyle w:val="Title"/>
      </w:pPr>
      <w:r>
        <w:t xml:space="preserve">The Consumer of Average Intelligence and Imperfect Recollection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imagined buyer through whose eyes the likelihood of confusion between two marks is judged.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Corn Products Refining Co. v. Shangrila Food Products Ltd., AIR 1960 SC 142</w:t>
      </w:r>
    </w:p>
    <w:p>
      <w:pPr>
        <w:pStyle w:val="Bullet"/>
      </w:pPr>
      <w:r>
        <w:t xml:space="preserve">•  Amritdhara Pharmacy v. Satya Deo Gupta, AIR 1963 SC 449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https://firstprecedent.org/fictions/average-consumer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