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FC-0022 · Family</w:t>
      </w:r>
    </w:p>
    <w:p>
      <w:pPr>
        <w:pStyle w:val="Title"/>
      </w:pPr>
      <w:r>
        <w:t xml:space="preserve">The Adopted Child as Natural-Born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An adopted child is deemed the child of the adoptive parents for all purposes, with ties to the birth family severed.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Adoptions and Maintenance Act, 1956, § 12</w:t>
      </w:r>
    </w:p>
    <w:p>
      <w:pPr>
        <w:pStyle w:val="Bullet"/>
      </w:pPr>
      <w:r>
        <w:t xml:space="preserve">•  Sawan Ram v. Kalawanti, AIR 1967 SC 1761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https://firstprecedent.org/fictions/adopted-child-as-natural-born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