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FC-0074 · Family</w:t>
      </w:r>
    </w:p>
    <w:p>
      <w:pPr>
        <w:pStyle w:val="Title"/>
      </w:pPr>
      <w:r>
        <w:t xml:space="preserve">Acknowledgment of Paternity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Muslim law rule by which a man’s acknowledgment of a child as his own establishes legitimacy where the marriage is uncertain.</w:t>
      </w:r>
    </w:p>
    <w:p>
      <w:pPr>
        <w:pStyle w:val="Guidance"/>
      </w:pPr>
      <w:r>
        <w:t xml:space="preserve">Authorities to start from. These are places to begin, listed by the editors. Read each one in the original and check the citation before you rely on it.</w:t>
      </w:r>
    </w:p>
    <w:p>
      <w:pPr>
        <w:pStyle w:val="Bullet"/>
      </w:pPr>
      <w:r>
        <w:t xml:space="preserve">•  Muhammad Allahdad Khan v. Muhammad Ismail Khan, ILR (1888) 10 All 289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https://firstprecedent.org/fictions/acknowledgment-of-paternity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