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FL-0014 · Arbitration</w:t>
      </w:r>
    </w:p>
    <w:p>
      <w:pPr>
        <w:pStyle w:val="Title"/>
      </w:pPr>
      <w:r>
        <w:t xml:space="preserve">Unilateral Appointment of Arbitrators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one party, or its panel, may choose the tribunal: the cases on ineligibility and on curated panels.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TRF Ltd. v. Energo Engineering Projects Ltd., (2017) 8 SCC 377</w:t>
      </w:r>
    </w:p>
    <w:p>
      <w:pPr>
        <w:pStyle w:val="Bullet"/>
      </w:pPr>
      <w:r>
        <w:t xml:space="preserve">•  Perkins Eastman Architects DPC v. HSCC (India) Ltd., (2020) 20 SCC 760</w:t>
      </w:r>
    </w:p>
    <w:p>
      <w:pPr>
        <w:pStyle w:val="Bullet"/>
      </w:pPr>
      <w:r>
        <w:t xml:space="preserve">•  Central Organisation for Railway Electrification v. ECI-SPIC-SMO-MCML (JV), (2020) 14 SCC 712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https://firstprecedent.org/fault-lines/unilateral-appointment-of-arbitrators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