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FL-0059 · Media</w:t>
      </w:r>
    </w:p>
    <w:p>
      <w:pPr>
        <w:pStyle w:val="Title"/>
      </w:pPr>
      <w:r>
        <w:t xml:space="preserve">Reporting on Pending Investigations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How far the press may go while a case is under investigation, with no statute and only self-regulation.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Nilesh Navalakha v. Union of India, 2021 SCC OnLine Bom 56</w:t>
      </w:r>
    </w:p>
    <w:p>
      <w:pPr>
        <w:pStyle w:val="Bullet"/>
      </w:pPr>
      <w:r>
        <w:t xml:space="preserve">•  Sahara India Real Estate Corpn. Ltd. v. SEBI, (2012) 10 SCC 603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https://firstprecedent.org/fault-lines/trial-by-media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