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FL-0055 · Tech &amp; Data</w:t>
      </w:r>
    </w:p>
    <w:p>
      <w:pPr>
        <w:pStyle w:val="Title"/>
      </w:pPr>
      <w:r>
        <w:t xml:space="preserve">Tracing the First Originator of a Message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A rule requiring messaging services to identify the first sender, and the claim that it breaks end-to-end encryption.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Information Technology (Intermediary Guidelines and Digital Media Ethics Code) Rules, 2021, rule 4(2)</w:t>
      </w:r>
    </w:p>
    <w:p>
      <w:pPr>
        <w:pStyle w:val="Bullet"/>
      </w:pPr>
      <w:r>
        <w:t xml:space="preserve">•  K.S. Puttaswamy v. Union of India, (2017) 10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https://firstprecedent.org/fault-lines/traceability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