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FL-0068 · Property</w:t>
      </w:r>
    </w:p>
    <w:p>
      <w:pPr>
        <w:pStyle w:val="Title"/>
      </w:pPr>
      <w:r>
        <w:t xml:space="preserve">Is Time of the Essence in a Sale of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Not ordinarily, by long tradition; but the Court has asked that the rule be revisited in a market of rising prices.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Chand Rani v. Kamal Rani, (1993) 1 SCC 519</w:t>
      </w:r>
    </w:p>
    <w:p>
      <w:pPr>
        <w:pStyle w:val="Bullet"/>
      </w:pPr>
      <w:r>
        <w:t xml:space="preserve">•  Saradamani Kandappan v. S. Rajalakshmi, (2011) 12 SCC 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https://firstprecedent.org/fault-lines/time-as-essence-in-land-sales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