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FL-0049 · Banking</w:t>
      </w:r>
    </w:p>
    <w:p>
      <w:pPr>
        <w:pStyle w:val="Title"/>
      </w:pPr>
      <w:r>
        <w:t xml:space="preserve">Tenants against Secured Creditors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Whether a tenant of mortgaged property can resist possession by a bank under the securitisation law.</w:t>
      </w:r>
    </w:p>
    <w:p>
      <w:pPr>
        <w:pStyle w:val="Guidance"/>
      </w:pPr>
      <w:r>
        <w:t xml:space="preserve">Authorities to start from. These are places to begin, listed by the editors. Read each one in the original and check the citation before you rely on it.</w:t>
      </w:r>
    </w:p>
    <w:p>
      <w:pPr>
        <w:pStyle w:val="Bullet"/>
      </w:pPr>
      <w:r>
        <w:t xml:space="preserve">•  Harshad Govardhan Sondagar v. International Assets Reconstruction Co. Ltd., (2014) 6 SCC 1</w:t>
      </w:r>
    </w:p>
    <w:p>
      <w:pPr>
        <w:pStyle w:val="Bullet"/>
      </w:pPr>
      <w:r>
        <w:t xml:space="preserve">•  Bajarang Shyamsunder Agarwal v. Central Bank of India, (2019) 9 SCC 94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https://firstprecedent.org/fault-lines/tenants-and-secured-creditors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