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FL-0080 · International (Public)</w:t>
      </w:r>
    </w:p>
    <w:p>
      <w:pPr>
        <w:pStyle w:val="Title"/>
      </w:pPr>
      <w:r>
        <w:t xml:space="preserve">Suing a Foreign State in India</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Central Government consent is needed to sue a foreign State; how far that covers commercial acts and special statutes is unsettled.</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Civil Procedure, 1908, § 86</w:t>
      </w:r>
    </w:p>
    <w:p>
      <w:pPr>
        <w:pStyle w:val="Bullet"/>
      </w:pPr>
      <w:r>
        <w:t xml:space="preserve">•  Ethiopian Airlines v. Ganesh Narain Saboo, (2011) 8 SCC 539</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https://firstprecedent.org/fault-lines/suing-a-foreign-state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