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FL-0052 · IP</w:t>
      </w:r>
    </w:p>
    <w:p>
      <w:pPr>
        <w:pStyle w:val="Title"/>
      </w:pPr>
      <w:r>
        <w:t xml:space="preserve">Statutory Licences and Streaming Services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broadcasting licence in the Copyright Act extends to internet streaming.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31D</w:t>
      </w:r>
    </w:p>
    <w:p>
      <w:pPr>
        <w:pStyle w:val="Bullet"/>
      </w:pPr>
      <w:r>
        <w:t xml:space="preserve">•  Tips Industries Ltd. v. Wynk Music Ltd., 2019 SCC OnLine Bom 13087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https://firstprecedent.org/fault-lines/statutory-licence-for-streaming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