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FL-0019 · IP</w:t>
      </w:r>
    </w:p>
    <w:p>
      <w:pPr>
        <w:pStyle w:val="Title"/>
      </w:pPr>
      <w:r>
        <w:t xml:space="preserve">Injunctions for Standard Essential Patents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Interim royalty deposits, FRAND rates and whether the Competition Commission can investigate patent holders.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Telefonaktiebolaget LM Ericsson v. CCI, 2016 SCC OnLine Del 1951</w:t>
      </w:r>
    </w:p>
    <w:p>
      <w:pPr>
        <w:pStyle w:val="Bullet"/>
      </w:pPr>
      <w:r>
        <w:t xml:space="preserve">•  Telefonaktiebolaget LM Ericsson v. CCI, 2023 SCC OnLine Del 4078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https://firstprecedent.org/fault-lines/standard-essential-patents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