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FL-0072 · Contract</w:t>
      </w:r>
    </w:p>
    <w:p>
      <w:pPr>
        <w:pStyle w:val="Title"/>
      </w:pPr>
      <w:r>
        <w:t xml:space="preserve">Is Specific Performance Now the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2018 amendment removed the court’s discretion to refuse; whether it applies to older contracts is contested.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(Amendment) Act, 2018</w:t>
      </w:r>
    </w:p>
    <w:p>
      <w:pPr>
        <w:pStyle w:val="Bullet"/>
      </w:pPr>
      <w:r>
        <w:t xml:space="preserve">•  Katta Sujatha Reddy v. Siddamsetty Infra Projects (P) Ltd., (2023) 1 SCC 355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https://firstprecedent.org/fault-lines/specific-performance-after-2018</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