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FL-0030 · Labour</w:t>
      </w:r>
    </w:p>
    <w:p>
      <w:pPr>
        <w:pStyle w:val="Title"/>
      </w:pPr>
      <w:r>
        <w:t xml:space="preserve">Are Medical Representatives Workmen?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Sales staff fall outside the four categories of work in the definition, yet a separate statute gives them some of the same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H.R. Adyanthaya v. Sandoz (India) Ltd., (1994) 5 SCC 737</w:t>
      </w:r>
    </w:p>
    <w:p>
      <w:pPr>
        <w:pStyle w:val="Bullet"/>
      </w:pPr>
      <w:r>
        <w:t xml:space="preserve">•  Sales Promotion Employees (Conditions of Service) Act, 1976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https://firstprecedent.org/fault-lines/sales-promotion-employees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