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FL-0076 · Administrative</w:t>
      </w:r>
    </w:p>
    <w:p>
      <w:pPr>
        <w:pStyle w:val="Title"/>
      </w:pPr>
      <w:r>
        <w:t xml:space="preserve">The Right to Information against 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personal information held by a public authority must be disclosed, and what the data protection law changed.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8(1)(j)</w:t>
      </w:r>
    </w:p>
    <w:p>
      <w:pPr>
        <w:pStyle w:val="Bullet"/>
      </w:pPr>
      <w:r>
        <w:t xml:space="preserve">•  Digital Personal Data Protection Act, 2023, § 44(3)</w:t>
      </w:r>
    </w:p>
    <w:p>
      <w:pPr>
        <w:pStyle w:val="Bullet"/>
      </w:pPr>
      <w:r>
        <w:t xml:space="preserve">•  Central Public Information Officer, Supreme Court of India v. Subhash Chandra Agarwal, (2020) 5 SCC 481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https://firstprecedent.org/fault-lines/right-to-information-and-privacy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