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FL-0075 · Civil Procedure</w:t>
      </w:r>
    </w:p>
    <w:p>
      <w:pPr>
        <w:pStyle w:val="Title"/>
      </w:pPr>
      <w:r>
        <w:t xml:space="preserve">Is Pre-Suit Mediation Mandatory?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commercial suit filed without mediation is to be rejected, unless it "contemplates urgent relief"; courts differ on who decides that.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Commercial Courts Act, 2015, § 12A</w:t>
      </w:r>
    </w:p>
    <w:p>
      <w:pPr>
        <w:pStyle w:val="Bullet"/>
      </w:pPr>
      <w:r>
        <w:t xml:space="preserve">•  Patil Automation (P) Ltd. v. Rakheja Engineers (P) Ltd., (2022)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https://firstprecedent.org/fault-lines/pre-suit-mediation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