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FL-0003 · Family</w:t>
      </w:r>
    </w:p>
    <w:p>
      <w:pPr>
        <w:pStyle w:val="Title"/>
      </w:pPr>
      <w:r>
        <w:t xml:space="preserve">Is Personal Law "Law" under Article 13?</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Narasu Appa Mali has never been overruled, yet courts test personal law against Part III. The unresolved disagreement.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of Bombay v. Narasu Appa Mali, AIR 1952 Bom 84</w:t>
      </w:r>
    </w:p>
    <w:p>
      <w:pPr>
        <w:pStyle w:val="Bullet"/>
      </w:pPr>
      <w:r>
        <w:t xml:space="preserve">•  Shayara Bano v. Union of India, (2017) 9 SCC 1</w:t>
      </w:r>
    </w:p>
    <w:p>
      <w:pPr>
        <w:pStyle w:val="Bullet"/>
      </w:pPr>
      <w:r>
        <w:t xml:space="preserve">•  Indian Young Lawyers Assn. v. State of Kerala, (2019) 11 SCC 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https://firstprecedent.org/fault-lines/personal-law-and-part-iii</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