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FL-0048 · Banking</w:t>
      </w:r>
    </w:p>
    <w:p>
      <w:pPr>
        <w:pStyle w:val="Title"/>
      </w:pPr>
      <w:r>
        <w:t xml:space="preserve">Personal Guarantors after a Resolution Plan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Approval of a plan does not discharge the guarantor, though the principal debt is extinguished.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Lalit Kumar Jain v. Union of India, (2021) 9 SCC 321</w:t>
      </w:r>
    </w:p>
    <w:p>
      <w:pPr>
        <w:pStyle w:val="Bullet"/>
      </w:pPr>
      <w:r>
        <w:t xml:space="preserve">•  State Bank of India v. V. Ramakrishnan, (2018) 17 SCC 394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https://firstprecedent.org/fault-lines/personal-guarantors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