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Fault Line · FL-0016 · Contract</w:t>
      </w:r>
    </w:p>
    <w:p>
      <w:pPr>
        <w:pStyle w:val="Title"/>
      </w:pPr>
      <w:r>
        <w:t xml:space="preserve">Post-Employment Non-Compete Clauses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question</w:t>
      </w:r>
    </w:p>
    <w:p>
      <w:pPr>
        <w:pStyle w:val="Guidance"/>
      </w:pPr>
      <w:r>
        <w:t xml:space="preserve">State the question on which the courts differ, in one sentence.</w:t>
      </w:r>
    </w:p>
    <w:p/>
    <w:p>
      <w:pPr>
        <w:pStyle w:val="Heading1"/>
      </w:pPr>
      <w:r>
        <w:t xml:space="preserve">The first answer</w:t>
      </w:r>
    </w:p>
    <w:p>
      <w:pPr>
        <w:pStyle w:val="Guidance"/>
      </w:pPr>
      <w:r>
        <w:t xml:space="preserve">The decisions that take it, and their reasons.</w:t>
      </w:r>
    </w:p>
    <w:p/>
    <w:p>
      <w:pPr>
        <w:pStyle w:val="Heading1"/>
      </w:pPr>
      <w:r>
        <w:t xml:space="preserve">The second answer</w:t>
      </w:r>
    </w:p>
    <w:p>
      <w:pPr>
        <w:pStyle w:val="Guidance"/>
      </w:pPr>
      <w:r>
        <w:t xml:space="preserve">The decisions that take the other view, and their reasons.</w:t>
      </w:r>
    </w:p>
    <w:p/>
    <w:p>
      <w:pPr>
        <w:pStyle w:val="Heading1"/>
      </w:pPr>
      <w:r>
        <w:t xml:space="preserve">Why the courts differ</w:t>
      </w:r>
    </w:p>
    <w:p>
      <w:pPr>
        <w:pStyle w:val="Guidance"/>
      </w:pPr>
      <w:r>
        <w:t xml:space="preserve">What the disagreement really turns on.</w:t>
      </w:r>
    </w:p>
    <w:p/>
    <w:p>
      <w:pPr>
        <w:pStyle w:val="Heading1"/>
      </w:pPr>
      <w:r>
        <w:t xml:space="preserve">The answer you argue</w:t>
      </w:r>
    </w:p>
    <w:p>
      <w:pPr>
        <w:pStyle w:val="Guidance"/>
      </w:pPr>
      <w:r>
        <w:t xml:space="preserve">Take a side and defend it. Another student may argue the other.</w:t>
      </w:r>
    </w:p>
    <w:p/>
    <w:p>
      <w:pPr>
        <w:pStyle w:val="Heading1"/>
      </w:pPr>
      <w:r>
        <w:t xml:space="preserve">Notes for the writer (delete before submitting)</w:t>
      </w:r>
    </w:p>
    <w:p>
      <w:pPr>
        <w:pStyle w:val="Guidance"/>
      </w:pPr>
      <w:r>
        <w:t xml:space="preserve">Scope of this entry. Void under section 27, yet garden leave, confidentiality and non-solicitation clauses are enforced. Where High Courts draw the line.</w:t>
      </w:r>
    </w:p>
    <w:p>
      <w:pPr>
        <w:pStyle w:val="Guidance"/>
      </w:pPr>
      <w:r>
        <w:t xml:space="preserve">Authorities to start from. These are places to begin, listed by the editors. Read each one in the original and check the citation before you rely on it.</w:t>
      </w:r>
    </w:p>
    <w:p>
      <w:pPr>
        <w:pStyle w:val="Bullet"/>
      </w:pPr>
      <w:r>
        <w:t xml:space="preserve">•  Superintendence Co. of India (P) Ltd. v. Krishan Murgai, (1981) 2 SCC 246</w:t>
      </w:r>
    </w:p>
    <w:p>
      <w:pPr>
        <w:pStyle w:val="Bullet"/>
      </w:pPr>
      <w:r>
        <w:t xml:space="preserve">•  Percept D’Mark (India) (P) Ltd. v. Zaheer Khan, (2006) 4 SCC 227</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https://firstprecedent.org/fault-lines/non-compete-after-employment</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