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FL-0025 · Family</w:t>
      </w:r>
    </w:p>
    <w:p>
      <w:pPr>
        <w:pStyle w:val="Title"/>
      </w:pPr>
      <w:r>
        <w:t xml:space="preserve">The Mother as Natural Guardian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The statute says the father and "after him" the mother. The Court read "after" as "in the absence of"; the text remains.</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Minority and Guardianship Act, 1956, § 6(a)</w:t>
      </w:r>
    </w:p>
    <w:p>
      <w:pPr>
        <w:pStyle w:val="Bullet"/>
      </w:pPr>
      <w:r>
        <w:t xml:space="preserve">•  Githa Hariharan v. RBI, (1999) 2 SCC 228</w:t>
      </w:r>
    </w:p>
    <w:p>
      <w:pPr>
        <w:pStyle w:val="Bullet"/>
      </w:pPr>
      <w:r>
        <w:t xml:space="preserve">•  ABC v. State (NCT of Delhi), (2015) 10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https://firstprecedent.org/fault-lines/mother-as-natural-guardian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