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FL-0035 · Tax</w:t>
      </w:r>
    </w:p>
    <w:p>
      <w:pPr>
        <w:pStyle w:val="Title"/>
      </w:pPr>
      <w:r>
        <w:t xml:space="preserve">Most Favoured Nation Clauses in Tax Treaties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later treaty’s lower rate applies automatically or only after a separate notification.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Assessing Officer (International Taxation) v. Nestle SA (Supreme Court of India, 19 Oct. 2023)</w:t>
      </w:r>
    </w:p>
    <w:p>
      <w:pPr>
        <w:pStyle w:val="Bullet"/>
      </w:pPr>
      <w:r>
        <w:t xml:space="preserve">•  Income-tax Act, 1961, §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https://firstprecedent.org/fault-lines/most-favoured-nation-clause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