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FL-0005 · Constitutional</w:t>
      </w:r>
    </w:p>
    <w:p>
      <w:pPr>
        <w:pStyle w:val="Title"/>
      </w:pPr>
      <w:r>
        <w:t xml:space="preserve">What Is a Money Bill?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Speaker’s certificate is reviewable and how strictly Article 110 is read: Aadhaar, Rojer Mathew and the pending reference.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(Aadhaar) v. Union of India, (2019) 1 SCC 1</w:t>
      </w:r>
    </w:p>
    <w:p>
      <w:pPr>
        <w:pStyle w:val="Bullet"/>
      </w:pPr>
      <w:r>
        <w:t xml:space="preserve">•  Rojer Mathew v. South Indian Bank Ltd., (2020) 6 SCC 1</w:t>
      </w:r>
    </w:p>
    <w:p>
      <w:pPr>
        <w:pStyle w:val="Bullet"/>
      </w:pPr>
      <w:r>
        <w:t xml:space="preserve">•  India Const. art. 110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https://firstprecedent.org/fault-lines/money-bills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