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FL-0013 · Arbitration</w:t>
      </w:r>
    </w:p>
    <w:p>
      <w:pPr>
        <w:pStyle w:val="Title"/>
      </w:pPr>
      <w:r>
        <w:t xml:space="preserve">Can a Court Modify an Arbitral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Set aside or leave alone: whether section 34 allows a court to vary an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McDermott International Inc. v. Burn Standard Co. Ltd., (2006) 11 SCC 181</w:t>
      </w:r>
    </w:p>
    <w:p>
      <w:pPr>
        <w:pStyle w:val="Bullet"/>
      </w:pPr>
      <w:r>
        <w:t xml:space="preserve">•  NHAI v. M. Hakeem, (2021)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https://firstprecedent.org/fault-lines/modification-of-awards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